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DF" w:rsidRDefault="00F925DF" w:rsidP="00F925DF">
      <w:pPr>
        <w:pStyle w:val="En-tte"/>
        <w:tabs>
          <w:tab w:val="right" w:pos="8364"/>
        </w:tabs>
        <w:jc w:val="center"/>
        <w:rPr>
          <w:b/>
          <w:i/>
          <w:sz w:val="44"/>
          <w:szCs w:val="44"/>
          <w:lang w:val="fr-FR"/>
        </w:rPr>
      </w:pPr>
    </w:p>
    <w:p w:rsidR="00F925DF" w:rsidRPr="00F925DF" w:rsidRDefault="00F925DF" w:rsidP="00F925DF">
      <w:pPr>
        <w:pStyle w:val="En-tte"/>
        <w:tabs>
          <w:tab w:val="right" w:pos="8364"/>
        </w:tabs>
        <w:jc w:val="center"/>
        <w:rPr>
          <w:b/>
          <w:i/>
          <w:sz w:val="44"/>
          <w:szCs w:val="44"/>
          <w:lang w:val="fr-FR"/>
        </w:rPr>
      </w:pPr>
      <w:r w:rsidRPr="00F925DF">
        <w:rPr>
          <w:b/>
          <w:i/>
          <w:sz w:val="44"/>
          <w:szCs w:val="44"/>
          <w:lang w:val="fr-FR"/>
        </w:rPr>
        <w:t>LA FORCE DU BAIL NOTARIE</w:t>
      </w:r>
    </w:p>
    <w:p w:rsidR="00F925DF" w:rsidRPr="00F925DF" w:rsidRDefault="00F925DF" w:rsidP="00F925DF">
      <w:pPr>
        <w:pStyle w:val="En-tte"/>
        <w:tabs>
          <w:tab w:val="left" w:pos="3119"/>
          <w:tab w:val="left" w:pos="3402"/>
          <w:tab w:val="right" w:pos="8364"/>
        </w:tabs>
        <w:rPr>
          <w:i/>
          <w:sz w:val="22"/>
          <w:lang w:val="fr-FR"/>
        </w:rPr>
      </w:pPr>
    </w:p>
    <w:p w:rsidR="00F925DF" w:rsidRPr="00F925DF" w:rsidRDefault="00F925DF" w:rsidP="00F925DF">
      <w:pPr>
        <w:pStyle w:val="En-tte"/>
        <w:tabs>
          <w:tab w:val="left" w:pos="3119"/>
          <w:tab w:val="left" w:pos="3402"/>
          <w:tab w:val="right" w:pos="8364"/>
        </w:tabs>
        <w:rPr>
          <w:sz w:val="22"/>
          <w:lang w:val="fr-FR"/>
        </w:rPr>
      </w:pPr>
    </w:p>
    <w:p w:rsidR="000B4C52" w:rsidRPr="00F925DF" w:rsidRDefault="00F925DF" w:rsidP="00F925DF">
      <w:pPr>
        <w:pStyle w:val="En-tte"/>
        <w:tabs>
          <w:tab w:val="left" w:pos="3119"/>
          <w:tab w:val="left" w:pos="3402"/>
          <w:tab w:val="right" w:pos="8364"/>
        </w:tabs>
        <w:rPr>
          <w:i/>
          <w:szCs w:val="24"/>
          <w:lang w:val="fr-FR"/>
        </w:rPr>
      </w:pPr>
      <w:r w:rsidRPr="00F925DF">
        <w:rPr>
          <w:i/>
          <w:szCs w:val="24"/>
          <w:lang w:val="fr-FR"/>
        </w:rPr>
        <w:t>Le bail est un contrat complexe.</w:t>
      </w:r>
    </w:p>
    <w:p w:rsidR="00F925DF" w:rsidRPr="00F925DF" w:rsidRDefault="00F925DF" w:rsidP="00F925DF">
      <w:pPr>
        <w:pStyle w:val="En-tte"/>
        <w:tabs>
          <w:tab w:val="left" w:pos="3119"/>
          <w:tab w:val="left" w:pos="3402"/>
          <w:tab w:val="right" w:pos="8364"/>
        </w:tabs>
        <w:rPr>
          <w:i/>
          <w:szCs w:val="24"/>
          <w:lang w:val="fr-FR"/>
        </w:rPr>
      </w:pPr>
      <w:r w:rsidRPr="00F925DF">
        <w:rPr>
          <w:i/>
          <w:szCs w:val="24"/>
          <w:lang w:val="fr-FR"/>
        </w:rPr>
        <w:t>Chaque catégorie d’immeuble à une législation spéciale qui subit des adaptations ou des modifications périodiques.</w:t>
      </w:r>
    </w:p>
    <w:p w:rsidR="00F925DF" w:rsidRPr="00F925DF" w:rsidRDefault="00F925DF" w:rsidP="000B4C52">
      <w:pPr>
        <w:pStyle w:val="En-tte"/>
        <w:tabs>
          <w:tab w:val="left" w:pos="3119"/>
          <w:tab w:val="left" w:pos="3402"/>
          <w:tab w:val="right" w:pos="8364"/>
        </w:tabs>
        <w:rPr>
          <w:i/>
          <w:szCs w:val="24"/>
          <w:lang w:val="fr-FR"/>
        </w:rPr>
      </w:pPr>
    </w:p>
    <w:p w:rsidR="00F925DF" w:rsidRPr="00F925DF" w:rsidRDefault="00F925DF" w:rsidP="00F925DF">
      <w:pPr>
        <w:pStyle w:val="En-tte"/>
        <w:tabs>
          <w:tab w:val="left" w:pos="3119"/>
          <w:tab w:val="left" w:pos="3402"/>
          <w:tab w:val="right" w:pos="8364"/>
        </w:tabs>
        <w:rPr>
          <w:i/>
          <w:szCs w:val="24"/>
          <w:lang w:val="fr-FR"/>
        </w:rPr>
      </w:pPr>
      <w:r w:rsidRPr="00F925DF">
        <w:rPr>
          <w:i/>
          <w:szCs w:val="24"/>
          <w:lang w:val="fr-FR"/>
        </w:rPr>
        <w:t>Le rôle du Notaire est donc précieux pour :</w:t>
      </w:r>
    </w:p>
    <w:p w:rsidR="00F925DF" w:rsidRPr="00F925DF" w:rsidRDefault="00F925DF" w:rsidP="00F925DF">
      <w:pPr>
        <w:pStyle w:val="En-tte"/>
        <w:numPr>
          <w:ilvl w:val="0"/>
          <w:numId w:val="3"/>
        </w:numPr>
        <w:rPr>
          <w:i/>
          <w:szCs w:val="24"/>
          <w:lang w:val="fr-FR"/>
        </w:rPr>
      </w:pPr>
      <w:r w:rsidRPr="00F925DF">
        <w:rPr>
          <w:i/>
          <w:szCs w:val="24"/>
          <w:lang w:val="fr-FR"/>
        </w:rPr>
        <w:t>La rédaction</w:t>
      </w:r>
    </w:p>
    <w:p w:rsidR="00F925DF" w:rsidRPr="00F925DF" w:rsidRDefault="00F925DF" w:rsidP="00F925DF">
      <w:pPr>
        <w:pStyle w:val="En-tte"/>
        <w:numPr>
          <w:ilvl w:val="0"/>
          <w:numId w:val="3"/>
        </w:numPr>
        <w:rPr>
          <w:i/>
          <w:szCs w:val="24"/>
          <w:lang w:val="fr-FR"/>
        </w:rPr>
      </w:pPr>
      <w:r w:rsidRPr="00F925DF">
        <w:rPr>
          <w:i/>
          <w:szCs w:val="24"/>
          <w:lang w:val="fr-FR"/>
        </w:rPr>
        <w:t>L’équilibre et la sécurité contractuelle</w:t>
      </w:r>
    </w:p>
    <w:p w:rsidR="00F925DF" w:rsidRPr="00F925DF" w:rsidRDefault="00F925DF" w:rsidP="00F925DF">
      <w:pPr>
        <w:pStyle w:val="En-tte"/>
        <w:numPr>
          <w:ilvl w:val="0"/>
          <w:numId w:val="3"/>
        </w:numPr>
        <w:rPr>
          <w:i/>
          <w:szCs w:val="24"/>
          <w:lang w:val="fr-FR"/>
        </w:rPr>
      </w:pPr>
      <w:r w:rsidRPr="00F925DF">
        <w:rPr>
          <w:i/>
          <w:szCs w:val="24"/>
          <w:lang w:val="fr-FR"/>
        </w:rPr>
        <w:t>Les diagnostics obligatoires</w:t>
      </w:r>
    </w:p>
    <w:p w:rsidR="00F925DF" w:rsidRPr="00F925DF" w:rsidRDefault="00F925DF" w:rsidP="00F925DF">
      <w:pPr>
        <w:pStyle w:val="En-tte"/>
        <w:rPr>
          <w:i/>
          <w:szCs w:val="24"/>
          <w:lang w:val="fr-FR"/>
        </w:rPr>
      </w:pPr>
    </w:p>
    <w:p w:rsidR="00F925DF" w:rsidRPr="00F925DF" w:rsidRDefault="00F925DF" w:rsidP="00F925DF">
      <w:pPr>
        <w:pStyle w:val="En-tte"/>
        <w:rPr>
          <w:b/>
          <w:i/>
          <w:sz w:val="28"/>
          <w:szCs w:val="28"/>
          <w:lang w:val="fr-FR"/>
        </w:rPr>
      </w:pPr>
      <w:r w:rsidRPr="00F925DF">
        <w:rPr>
          <w:b/>
          <w:i/>
          <w:sz w:val="28"/>
          <w:szCs w:val="28"/>
          <w:lang w:val="fr-FR"/>
        </w:rPr>
        <w:t>Seul le bail notarié permet au bailleur d’obtenir l’exécution forcée du paiement des loyers sans avoir à s’adresser au Tribunal.</w:t>
      </w:r>
    </w:p>
    <w:p w:rsidR="00F925DF" w:rsidRPr="00F925DF" w:rsidRDefault="00F925DF" w:rsidP="00F925DF">
      <w:pPr>
        <w:pStyle w:val="En-tte"/>
        <w:rPr>
          <w:i/>
          <w:szCs w:val="24"/>
          <w:lang w:val="fr-FR"/>
        </w:rPr>
      </w:pPr>
    </w:p>
    <w:p w:rsidR="00F925DF" w:rsidRPr="00F925DF" w:rsidRDefault="00F925DF" w:rsidP="00F925DF">
      <w:pPr>
        <w:pStyle w:val="En-tte"/>
        <w:rPr>
          <w:i/>
          <w:szCs w:val="24"/>
          <w:lang w:val="fr-FR"/>
        </w:rPr>
      </w:pPr>
      <w:r w:rsidRPr="00F925DF">
        <w:rPr>
          <w:i/>
          <w:szCs w:val="24"/>
          <w:lang w:val="fr-FR"/>
        </w:rPr>
        <w:t>Il suffit au bailleur de présenter à l’huissier la copie exécutoire de son bail, le décompte des loyers non payés et les références du compte bancaire de son locataire ou de la caution : l’huissier pourra ainsi bloquer le compte bancaire du débiteur et en saisir le contenu.</w:t>
      </w:r>
    </w:p>
    <w:p w:rsidR="00F925DF" w:rsidRDefault="00F925DF" w:rsidP="00F925DF">
      <w:pPr>
        <w:pStyle w:val="En-tte"/>
        <w:rPr>
          <w:i/>
          <w:szCs w:val="24"/>
          <w:lang w:val="fr-FR"/>
        </w:rPr>
      </w:pPr>
    </w:p>
    <w:p w:rsidR="00F925DF" w:rsidRPr="00F925DF" w:rsidRDefault="00F925DF" w:rsidP="00F925DF">
      <w:pPr>
        <w:pStyle w:val="En-tte"/>
        <w:rPr>
          <w:i/>
          <w:szCs w:val="24"/>
          <w:lang w:val="fr-FR"/>
        </w:rPr>
      </w:pPr>
    </w:p>
    <w:p w:rsidR="00F925DF" w:rsidRPr="00F925DF" w:rsidRDefault="00F925DF" w:rsidP="00F925DF">
      <w:pPr>
        <w:pStyle w:val="En-tte"/>
        <w:jc w:val="center"/>
        <w:rPr>
          <w:b/>
          <w:i/>
          <w:sz w:val="28"/>
          <w:szCs w:val="28"/>
          <w:lang w:val="fr-FR"/>
        </w:rPr>
      </w:pPr>
      <w:r w:rsidRPr="00F925DF">
        <w:rPr>
          <w:b/>
          <w:i/>
          <w:sz w:val="28"/>
          <w:szCs w:val="28"/>
          <w:lang w:val="fr-FR"/>
        </w:rPr>
        <w:t>L’acte notarié a la même force qu’une décision de justice.</w:t>
      </w:r>
    </w:p>
    <w:p w:rsidR="00F925DF" w:rsidRDefault="00F925DF" w:rsidP="00F925DF">
      <w:pPr>
        <w:pStyle w:val="En-tte"/>
        <w:rPr>
          <w:i/>
          <w:szCs w:val="24"/>
          <w:lang w:val="fr-FR"/>
        </w:rPr>
      </w:pPr>
    </w:p>
    <w:p w:rsidR="00F925DF" w:rsidRPr="00F925DF" w:rsidRDefault="00F925DF" w:rsidP="00F925DF">
      <w:pPr>
        <w:pStyle w:val="En-tte"/>
        <w:rPr>
          <w:i/>
          <w:szCs w:val="24"/>
          <w:lang w:val="fr-FR"/>
        </w:rPr>
      </w:pPr>
    </w:p>
    <w:p w:rsidR="00F925DF" w:rsidRPr="00F925DF" w:rsidRDefault="00F925DF" w:rsidP="00F925DF">
      <w:pPr>
        <w:pStyle w:val="En-tte"/>
        <w:jc w:val="center"/>
        <w:rPr>
          <w:b/>
          <w:i/>
          <w:sz w:val="36"/>
          <w:szCs w:val="36"/>
          <w:lang w:val="fr-FR"/>
        </w:rPr>
      </w:pPr>
      <w:r w:rsidRPr="00F925DF">
        <w:rPr>
          <w:b/>
          <w:i/>
          <w:sz w:val="36"/>
          <w:szCs w:val="36"/>
          <w:lang w:val="fr-FR"/>
        </w:rPr>
        <w:t>Aucun autre acte ne peut revendiquer une telle efficacité.</w:t>
      </w:r>
    </w:p>
    <w:sectPr w:rsidR="00F925DF" w:rsidRPr="00F925DF" w:rsidSect="001013D4">
      <w:headerReference w:type="even" r:id="rId8"/>
      <w:headerReference w:type="first" r:id="rId9"/>
      <w:footerReference w:type="first" r:id="rId10"/>
      <w:pgSz w:w="11907" w:h="16840"/>
      <w:pgMar w:top="1134" w:right="851" w:bottom="2552" w:left="2552" w:header="624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D9E" w:rsidRDefault="007D6D9E">
      <w:r>
        <w:separator/>
      </w:r>
    </w:p>
  </w:endnote>
  <w:endnote w:type="continuationSeparator" w:id="0">
    <w:p w:rsidR="007D6D9E" w:rsidRDefault="007D6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AD2" w:rsidRDefault="00E51FED">
    <w:pPr>
      <w:pStyle w:val="Pieddepage"/>
    </w:pPr>
    <w:r>
      <w:pict>
        <v:rect id="_x0000_s2049" style="position:absolute;margin-left:14.4pt;margin-top:784.8pt;width:568.8pt;height:43.2pt;z-index:251657728;mso-position-horizontal-relative:page;mso-position-vertical-relative:page" o:allowincell="f" filled="f" stroked="f" strokeweight=".5pt">
          <v:textbox inset="1pt,1pt,1pt,1pt">
            <w:txbxContent>
              <w:p w:rsidR="00C41AD2" w:rsidRDefault="00C41AD2">
                <w:pPr>
                  <w:pStyle w:val="Pieddepage"/>
                  <w:jc w:val="center"/>
                  <w:rPr>
                    <w:rFonts w:ascii="Arial" w:hAnsi="Arial"/>
                    <w:sz w:val="6"/>
                  </w:rPr>
                </w:pPr>
                <w:r>
                  <w:rPr>
                    <w:rFonts w:ascii="Arial" w:hAnsi="Arial"/>
                    <w:sz w:val="14"/>
                  </w:rPr>
                  <w:t>_______________________________________________________________________________________________</w:t>
                </w:r>
                <w:r>
                  <w:rPr>
                    <w:rFonts w:ascii="Arial" w:hAnsi="Arial"/>
                    <w:sz w:val="14"/>
                  </w:rPr>
                  <w:br/>
                </w:r>
              </w:p>
              <w:p w:rsidR="00C41AD2" w:rsidRDefault="00C41AD2">
                <w:pPr>
                  <w:pStyle w:val="Pieddepage"/>
                  <w:jc w:val="center"/>
                  <w:rPr>
                    <w:rFonts w:ascii="Arial" w:hAnsi="Arial"/>
                    <w:b/>
                    <w:i/>
                    <w:sz w:val="18"/>
                  </w:rPr>
                </w:pPr>
                <w:r>
                  <w:rPr>
                    <w:rFonts w:ascii="Arial" w:hAnsi="Arial"/>
                    <w:b/>
                    <w:i/>
                    <w:sz w:val="18"/>
                  </w:rPr>
                  <w:t>Successeur de Me Georges MANGEOT</w:t>
                </w:r>
              </w:p>
              <w:p w:rsidR="00C41AD2" w:rsidRDefault="00C41AD2">
                <w:pPr>
                  <w:pStyle w:val="Pieddepage"/>
                  <w:jc w:val="center"/>
                  <w:rPr>
                    <w:rFonts w:ascii="Arial" w:hAnsi="Arial"/>
                    <w:sz w:val="14"/>
                  </w:rPr>
                </w:pPr>
                <w:r>
                  <w:rPr>
                    <w:rFonts w:ascii="Arial" w:hAnsi="Arial"/>
                    <w:sz w:val="14"/>
                  </w:rPr>
                  <w:t>Membre d'une association agréée. le règlement des honoraires par chèque est accepté</w:t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D9E" w:rsidRDefault="007D6D9E">
      <w:r>
        <w:separator/>
      </w:r>
    </w:p>
  </w:footnote>
  <w:footnote w:type="continuationSeparator" w:id="0">
    <w:p w:rsidR="007D6D9E" w:rsidRDefault="007D6D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322"/>
      <w:gridCol w:w="4322"/>
    </w:tblGrid>
    <w:tr w:rsidR="00C41AD2">
      <w:tc>
        <w:tcPr>
          <w:tcW w:w="4322" w:type="dxa"/>
        </w:tcPr>
        <w:p w:rsidR="00C41AD2" w:rsidRPr="00971E45" w:rsidRDefault="00C41AD2">
          <w:pPr>
            <w:pStyle w:val="En-tte"/>
            <w:rPr>
              <w:rFonts w:ascii="Arial" w:hAnsi="Arial"/>
              <w:noProof/>
              <w:lang w:val="fr-FR" w:eastAsia="fr-FR"/>
            </w:rPr>
          </w:pPr>
        </w:p>
      </w:tc>
      <w:tc>
        <w:tcPr>
          <w:tcW w:w="4322" w:type="dxa"/>
        </w:tcPr>
        <w:p w:rsidR="00C41AD2" w:rsidRPr="00971E45" w:rsidRDefault="00C41AD2">
          <w:pPr>
            <w:pStyle w:val="En-tte"/>
            <w:rPr>
              <w:rFonts w:ascii="Arial" w:hAnsi="Arial"/>
              <w:noProof/>
              <w:lang w:val="fr-FR" w:eastAsia="fr-FR"/>
            </w:rPr>
          </w:pPr>
        </w:p>
      </w:tc>
    </w:tr>
  </w:tbl>
  <w:p w:rsidR="00C41AD2" w:rsidRDefault="00C41AD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773" w:type="dxa"/>
      <w:tblLayout w:type="fixed"/>
      <w:tblCellMar>
        <w:left w:w="70" w:type="dxa"/>
        <w:right w:w="70" w:type="dxa"/>
      </w:tblCellMar>
      <w:tblLook w:val="0000"/>
    </w:tblPr>
    <w:tblGrid>
      <w:gridCol w:w="2552"/>
      <w:gridCol w:w="5954"/>
    </w:tblGrid>
    <w:tr w:rsidR="00C41AD2">
      <w:trPr>
        <w:trHeight w:val="1701"/>
      </w:trPr>
      <w:tc>
        <w:tcPr>
          <w:tcW w:w="2552" w:type="dxa"/>
        </w:tcPr>
        <w:p w:rsidR="00C41AD2" w:rsidRPr="00971E45" w:rsidRDefault="00F925DF">
          <w:pPr>
            <w:pStyle w:val="En-tte"/>
            <w:rPr>
              <w:rFonts w:ascii="Arial" w:hAnsi="Arial"/>
              <w:noProof/>
              <w:lang w:val="fr-FR" w:eastAsia="fr-FR"/>
            </w:rPr>
          </w:pPr>
          <w:r>
            <w:rPr>
              <w:rFonts w:ascii="Arial" w:hAnsi="Arial"/>
              <w:noProof/>
              <w:lang w:val="fr-FR" w:eastAsia="fr-FR"/>
            </w:rPr>
            <w:drawing>
              <wp:inline distT="0" distB="0" distL="0" distR="0">
                <wp:extent cx="1143000" cy="1066800"/>
                <wp:effectExtent l="1905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</w:tcPr>
        <w:p w:rsidR="00C41AD2" w:rsidRDefault="00C41AD2">
          <w:pPr>
            <w:pStyle w:val="FDP"/>
            <w:rPr>
              <w:b/>
              <w:sz w:val="18"/>
            </w:rPr>
          </w:pPr>
        </w:p>
        <w:p w:rsidR="00C41AD2" w:rsidRDefault="00C41AD2">
          <w:pPr>
            <w:pStyle w:val="FDP"/>
            <w:rPr>
              <w:b/>
              <w:sz w:val="32"/>
            </w:rPr>
          </w:pPr>
          <w:r>
            <w:rPr>
              <w:b/>
              <w:sz w:val="32"/>
            </w:rPr>
            <w:t>Jean-Luc MANGEOT</w:t>
          </w:r>
        </w:p>
        <w:p w:rsidR="00C41AD2" w:rsidRDefault="00C41AD2">
          <w:pPr>
            <w:pStyle w:val="FDP"/>
          </w:pPr>
          <w:r>
            <w:rPr>
              <w:b/>
              <w:sz w:val="24"/>
            </w:rPr>
            <w:t>NOTAIRE</w:t>
          </w:r>
          <w:r>
            <w:br/>
          </w:r>
          <w:r>
            <w:rPr>
              <w:b/>
              <w:i/>
            </w:rPr>
            <w:t>D.E.S.S. Gestion du Patrimoine</w:t>
          </w:r>
          <w:r>
            <w:br/>
          </w:r>
          <w:r>
            <w:rPr>
              <w:sz w:val="20"/>
            </w:rPr>
            <w:t>472, rue Roger Salengro - 02230 FRESNOY-LE-GRAND</w:t>
          </w:r>
          <w:r>
            <w:br/>
          </w:r>
          <w:r>
            <w:rPr>
              <w:sz w:val="20"/>
            </w:rPr>
            <w:t>Téléphone 03 23 66 04 37 - Télécopie 03 23 66 08 80</w:t>
          </w:r>
        </w:p>
      </w:tc>
    </w:tr>
  </w:tbl>
  <w:p w:rsidR="00C41AD2" w:rsidRDefault="00C41AD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5095A"/>
    <w:multiLevelType w:val="hybridMultilevel"/>
    <w:tmpl w:val="1ED07AA8"/>
    <w:lvl w:ilvl="0" w:tplc="CE7E78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33859"/>
    <w:multiLevelType w:val="hybridMultilevel"/>
    <w:tmpl w:val="830CEFAE"/>
    <w:lvl w:ilvl="0" w:tplc="687861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7572C3"/>
    <w:multiLevelType w:val="hybridMultilevel"/>
    <w:tmpl w:val="FA9270CA"/>
    <w:lvl w:ilvl="0" w:tplc="A4560A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41AD2"/>
    <w:rsid w:val="00051DEB"/>
    <w:rsid w:val="000B4C52"/>
    <w:rsid w:val="001013D4"/>
    <w:rsid w:val="001C6CEB"/>
    <w:rsid w:val="0022637C"/>
    <w:rsid w:val="003C2AE2"/>
    <w:rsid w:val="00461411"/>
    <w:rsid w:val="004818CC"/>
    <w:rsid w:val="00494BF7"/>
    <w:rsid w:val="00497C30"/>
    <w:rsid w:val="00571505"/>
    <w:rsid w:val="007314DF"/>
    <w:rsid w:val="0075413A"/>
    <w:rsid w:val="007D6D9E"/>
    <w:rsid w:val="00971E45"/>
    <w:rsid w:val="00AE7313"/>
    <w:rsid w:val="00B21DD6"/>
    <w:rsid w:val="00B97B2F"/>
    <w:rsid w:val="00C25A5C"/>
    <w:rsid w:val="00C41AD2"/>
    <w:rsid w:val="00CA6A46"/>
    <w:rsid w:val="00CF0718"/>
    <w:rsid w:val="00D032F4"/>
    <w:rsid w:val="00D20905"/>
    <w:rsid w:val="00E51FED"/>
    <w:rsid w:val="00F925DF"/>
    <w:rsid w:val="00F97E45"/>
    <w:rsid w:val="00FE0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1013D4"/>
    <w:pPr>
      <w:ind w:firstLine="567"/>
      <w:jc w:val="both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DP">
    <w:name w:val="FDP"/>
    <w:rsid w:val="001013D4"/>
    <w:pPr>
      <w:jc w:val="center"/>
    </w:pPr>
    <w:rPr>
      <w:rFonts w:ascii="Arial" w:hAnsi="Arial"/>
      <w:noProof/>
      <w:sz w:val="16"/>
    </w:rPr>
  </w:style>
  <w:style w:type="paragraph" w:styleId="Textedemacro">
    <w:name w:val="macro"/>
    <w:link w:val="TextedemacroCar"/>
    <w:rsid w:val="001013D4"/>
    <w:pPr>
      <w:framePr w:hSpace="142" w:wrap="around" w:vAnchor="text" w:hAnchor="text" w:y="1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" w:hAnsi="Courier"/>
      <w:sz w:val="24"/>
    </w:rPr>
  </w:style>
  <w:style w:type="character" w:customStyle="1" w:styleId="TextedemacroCar">
    <w:name w:val="Texte de macro Car"/>
    <w:link w:val="Textedemacro"/>
    <w:locked/>
    <w:rsid w:val="001013D4"/>
    <w:rPr>
      <w:rFonts w:ascii="Courier" w:hAnsi="Courier"/>
      <w:sz w:val="24"/>
      <w:lang w:val="fr-FR" w:eastAsia="fr-FR" w:bidi="ar-SA"/>
    </w:rPr>
  </w:style>
  <w:style w:type="paragraph" w:styleId="En-tte">
    <w:name w:val="header"/>
    <w:basedOn w:val="Normal"/>
    <w:link w:val="En-tteCar"/>
    <w:rsid w:val="001013D4"/>
    <w:pPr>
      <w:ind w:firstLine="0"/>
      <w:jc w:val="left"/>
    </w:pPr>
    <w:rPr>
      <w:lang/>
    </w:rPr>
  </w:style>
  <w:style w:type="character" w:customStyle="1" w:styleId="En-tteCar">
    <w:name w:val="En-tête Car"/>
    <w:link w:val="En-tte"/>
    <w:locked/>
    <w:rsid w:val="001013D4"/>
    <w:rPr>
      <w:rFonts w:cs="Times New Roman"/>
      <w:sz w:val="24"/>
    </w:rPr>
  </w:style>
  <w:style w:type="paragraph" w:styleId="Pieddepage">
    <w:name w:val="footer"/>
    <w:basedOn w:val="Normal"/>
    <w:link w:val="PieddepageCar"/>
    <w:rsid w:val="001013D4"/>
    <w:pPr>
      <w:tabs>
        <w:tab w:val="center" w:pos="4536"/>
        <w:tab w:val="right" w:pos="9072"/>
      </w:tabs>
      <w:ind w:firstLine="0"/>
      <w:jc w:val="left"/>
    </w:pPr>
    <w:rPr>
      <w:lang/>
    </w:rPr>
  </w:style>
  <w:style w:type="character" w:customStyle="1" w:styleId="PieddepageCar">
    <w:name w:val="Pied de page Car"/>
    <w:link w:val="Pieddepage"/>
    <w:locked/>
    <w:rsid w:val="001013D4"/>
    <w:rPr>
      <w:rFonts w:cs="Times New Roman"/>
      <w:sz w:val="24"/>
    </w:rPr>
  </w:style>
  <w:style w:type="paragraph" w:styleId="Explorateurdedocuments">
    <w:name w:val="Document Map"/>
    <w:basedOn w:val="Normal"/>
    <w:link w:val="ExplorateurdedocumentsCar"/>
    <w:rsid w:val="001013D4"/>
    <w:pPr>
      <w:shd w:val="clear" w:color="auto" w:fill="000080"/>
    </w:pPr>
    <w:rPr>
      <w:rFonts w:ascii="Tahoma" w:hAnsi="Tahoma"/>
      <w:sz w:val="16"/>
      <w:szCs w:val="16"/>
      <w:lang/>
    </w:rPr>
  </w:style>
  <w:style w:type="character" w:customStyle="1" w:styleId="ExplorateurdedocumentsCar">
    <w:name w:val="Explorateur de documents Car"/>
    <w:link w:val="Explorateurdedocuments"/>
    <w:locked/>
    <w:rsid w:val="001013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Reprise%20Lora%20vers%20Winnot\ENTETE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7B1FE-F0B5-476C-8CDC-48E2DA289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ENTETE1.DOT</Template>
  <TotalTime>10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BON DE VISITE</vt:lpstr>
    </vt:vector>
  </TitlesOfParts>
  <Company>RD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 DE VISITE</dc:title>
  <dc:creator>POSTE3</dc:creator>
  <cp:lastModifiedBy>MB</cp:lastModifiedBy>
  <cp:revision>2</cp:revision>
  <cp:lastPrinted>2016-09-08T15:56:00Z</cp:lastPrinted>
  <dcterms:created xsi:type="dcterms:W3CDTF">2017-11-29T10:00:00Z</dcterms:created>
  <dcterms:modified xsi:type="dcterms:W3CDTF">2017-11-29T10:00:00Z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libDocumentM2000">
    <vt:bool>true</vt:bool>
  </property>
  <property fmtid="{D5CDD505-2E9C-101B-9397-08002B2CF9AE}" pid="3" name="InfolibSuffixe">
    <vt:lpwstr>XXX</vt:lpwstr>
  </property>
  <property fmtid="{D5CDD505-2E9C-101B-9397-08002B2CF9AE}" pid="4" name="InfolibType">
    <vt:lpwstr>Courrier</vt:lpwstr>
  </property>
  <property fmtid="{D5CDD505-2E9C-101B-9397-08002B2CF9AE}" pid="5" name="TableauCadastre">
    <vt:bool>true</vt:bool>
  </property>
</Properties>
</file>